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静乐县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退役军人事务局</w:t>
      </w:r>
      <w:r>
        <w:rPr>
          <w:rFonts w:hint="eastAsia" w:ascii="黑体" w:hAnsi="黑体" w:eastAsia="黑体" w:cs="黑体"/>
          <w:sz w:val="44"/>
          <w:szCs w:val="44"/>
        </w:rPr>
        <w:t>2024年普法责任清单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落实静乐县退役军人事务局2024年度法治宣传教育工作，细化量化年度普法工作任务，明确普法责任。按照《县委宣传部、县司法局关于在全县开展法治宣传教育的第八个五年规划》部署要求，立足县退役军人事务局职能定位制定本清单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一、普法内容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（一）共性普法内容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1.习近平新时代中国特色社会主义思想、习近平法治思想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2.《中华人民共和国宪法》《中华人民共和国民法典》《中华人民共和国国家安全法》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3.《中华人民共和国监察法》《中华人民共和国公务员法》《中华人民共和国公职人员政务处分法》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4.《中华人民共和国反有组织犯罪法》《中华人民共和国安全生产法》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5.《中华人民共和国档案法》《中华人民共和国保守国家秘密法》《中华人民共和国政府信息公开条例》《信访工作条例》《山西省安全生产条例》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6.《中国共产党章程》《中国共产党纪律处分条例》《中国共产党政法工作条例》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（二）个性化普法内容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《中华人民共和国退役军人保障法》《中华人民共和国军人地位和权益保障法》《中华人民共和国兵役法》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《中华人民共和国英雄烈士保护法》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二、普法对象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静乐县退役军人事务局、服务中心（站）全体干部职工以及退役军人和其他优抚对象。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三、普法目标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1.深入学习宣传贯彻落实习近平法治思想、宪法、民法典、党内法规等法律和政策法规；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2.努力提高全系统办事依法、遇事找法、解决问题用法、化解矛盾靠法的自觉性，推动全县退役军人和双拥工作在法治轨道上高质量发展。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3.引导退役军人积极参与到维护社会稳定中，在全社会营造自觉维护退役军人合法权益氛围，在全县营造遵纪守法、拥军爱军的良好氛围，争取退役军人法治工作迈上新台阶。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四、普法举措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1.将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习近平法治思想、《宪法》《民法典》等法律法规以及党内法规的学习列入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退役局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党组重要学习内容。（责任部门：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办公室;</w:t>
      </w:r>
      <w:bookmarkStart w:id="0" w:name="_GoBack"/>
      <w:bookmarkEnd w:id="0"/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时间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2.在消费者权益保护日、国家安全教育日、民法典宣传月、国家宪法日、宪法宣传周等时间节点开展法治宣传、学习活动。（责任部门：办公室；完成时间：全年）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加强法治宣传教育，有计划地开展宣传教育活动，采取多种形式，进行有针对性的教育培训。积极开展《中华人民共和国退役军人保障法》《中华人民共和国英雄烈士保护法》等法律政策学习宣传教育活动。（责任股室：办公室；完成时间：全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五、责任领导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静乐县退役军人事务局办公室负责人  王钊</w:t>
      </w: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静乐县退役军人事务局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    2024年3月18日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kern w:val="10"/>
          <w:sz w:val="28"/>
          <w:szCs w:val="28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1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10"/>
          <w:sz w:val="28"/>
          <w:szCs w:val="28"/>
          <w:vertAlign w:val="baseline"/>
          <w:lang w:val="en-US" w:eastAsia="zh-CN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WIzMjQ4MThkMmM2ZjQ4NzVjYTEwOTY4NmU1ODkifQ=="/>
  </w:docVars>
  <w:rsids>
    <w:rsidRoot w:val="665678AF"/>
    <w:rsid w:val="100F53E5"/>
    <w:rsid w:val="26D8502F"/>
    <w:rsid w:val="665678AF"/>
    <w:rsid w:val="6A087589"/>
    <w:rsid w:val="6CF7457B"/>
    <w:rsid w:val="76314969"/>
    <w:rsid w:val="7D9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2024-03-15T07:53:00Z</dcterms:created>
  <dc:creator>15034</dc:creator>
  <cp:lastModifiedBy>刘想风</cp:lastModifiedBy>
  <dcterms:modified xsi:type="dcterms:W3CDTF">2024-03-19T01:35:17Z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99174D38AB444DD0BF5229C9C5A7D1A7_11</vt:lpwstr>
  </property>
</Properties>
</file>