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ascii="微软雅黑" w:hAnsi="微软雅黑" w:eastAsia="微软雅黑" w:cs="微软雅黑"/>
          <w:i w:val="0"/>
          <w:iCs w:val="0"/>
          <w:caps w:val="0"/>
          <w:color w:val="555555"/>
          <w:spacing w:val="0"/>
          <w:sz w:val="42"/>
          <w:szCs w:val="42"/>
        </w:rPr>
      </w:pPr>
      <w:r>
        <w:rPr>
          <w:rFonts w:hint="eastAsia" w:ascii="微软雅黑" w:hAnsi="微软雅黑" w:eastAsia="微软雅黑" w:cs="微软雅黑"/>
          <w:i w:val="0"/>
          <w:iCs w:val="0"/>
          <w:caps w:val="0"/>
          <w:color w:val="555555"/>
          <w:spacing w:val="0"/>
          <w:sz w:val="42"/>
          <w:szCs w:val="42"/>
          <w:bdr w:val="none" w:color="auto" w:sz="0" w:space="0"/>
        </w:rPr>
        <w:t>国家发展改革委等12部门关于印发促进工业经济平稳增长的若干政策的通知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微软雅黑" w:hAnsi="微软雅黑" w:eastAsia="微软雅黑" w:cs="微软雅黑"/>
          <w:i w:val="0"/>
          <w:iCs w:val="0"/>
          <w:caps w:val="0"/>
          <w:color w:val="555555"/>
          <w:spacing w:val="0"/>
          <w:sz w:val="30"/>
          <w:szCs w:val="30"/>
        </w:rPr>
      </w:pPr>
      <w:r>
        <w:rPr>
          <w:rFonts w:hint="eastAsia" w:ascii="微软雅黑" w:hAnsi="微软雅黑" w:eastAsia="微软雅黑" w:cs="微软雅黑"/>
          <w:i w:val="0"/>
          <w:iCs w:val="0"/>
          <w:caps w:val="0"/>
          <w:color w:val="555555"/>
          <w:spacing w:val="0"/>
          <w:sz w:val="30"/>
          <w:szCs w:val="30"/>
          <w:bdr w:val="none" w:color="auto" w:sz="0" w:space="0"/>
        </w:rPr>
        <w:t>发改产业〔2022〕273号</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ascii="微软雅黑" w:hAnsi="微软雅黑" w:eastAsia="微软雅黑" w:cs="微软雅黑"/>
          <w:i w:val="0"/>
          <w:iCs w:val="0"/>
          <w:caps w:val="0"/>
          <w:color w:val="555555"/>
          <w:spacing w:val="0"/>
          <w:sz w:val="27"/>
          <w:szCs w:val="27"/>
        </w:rPr>
      </w:pPr>
      <w:r>
        <w:rPr>
          <w:rFonts w:ascii="仿宋" w:hAnsi="仿宋" w:eastAsia="仿宋" w:cs="仿宋"/>
          <w:i w:val="0"/>
          <w:iCs w:val="0"/>
          <w:caps w:val="0"/>
          <w:color w:val="555555"/>
          <w:spacing w:val="0"/>
          <w:kern w:val="0"/>
          <w:sz w:val="32"/>
          <w:szCs w:val="32"/>
          <w:bdr w:val="none" w:color="auto" w:sz="0" w:space="0"/>
          <w:shd w:val="clear" w:fill="FFFFFF"/>
          <w:lang w:val="en-US" w:eastAsia="zh-CN" w:bidi="ar"/>
        </w:rPr>
        <w:t>各省、自治区、直辖市人民政府，新疆生产建设兵团，国务院各部委、各直属机构：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555555"/>
          <w:spacing w:val="0"/>
          <w:sz w:val="27"/>
          <w:szCs w:val="27"/>
        </w:rPr>
      </w:pPr>
      <w:r>
        <w:rPr>
          <w:rFonts w:hint="eastAsia" w:ascii="仿宋" w:hAnsi="仿宋" w:eastAsia="仿宋" w:cs="仿宋"/>
          <w:i w:val="0"/>
          <w:iCs w:val="0"/>
          <w:caps w:val="0"/>
          <w:color w:val="555555"/>
          <w:spacing w:val="0"/>
          <w:kern w:val="0"/>
          <w:sz w:val="32"/>
          <w:szCs w:val="32"/>
          <w:bdr w:val="none" w:color="auto" w:sz="0" w:space="0"/>
          <w:shd w:val="clear" w:fill="FFFFFF"/>
          <w:lang w:val="en-US" w:eastAsia="zh-CN" w:bidi="ar"/>
        </w:rPr>
        <w:t>　　当前我国经济发展面临需求收缩、供给冲击、预期转弱三重压力，工业经济稳定增长的困难和挑战明显增多。在各地方和有关部门共同努力下，2021年四季度以来工业经济主要指标逐步改善，振作工业经济取得了阶段性成效。为进一步巩固工业经济增长势头，抓紧做好预调微调和跨周期调节，确保全年工业经济运行在合理区间，经国务院同意，现提出以下政策措施。</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555555"/>
          <w:spacing w:val="0"/>
          <w:sz w:val="27"/>
          <w:szCs w:val="27"/>
        </w:rPr>
      </w:pPr>
      <w:r>
        <w:rPr>
          <w:rFonts w:hint="eastAsia" w:ascii="仿宋" w:hAnsi="仿宋" w:eastAsia="仿宋" w:cs="仿宋"/>
          <w:i w:val="0"/>
          <w:iCs w:val="0"/>
          <w:caps w:val="0"/>
          <w:color w:val="555555"/>
          <w:spacing w:val="0"/>
          <w:kern w:val="0"/>
          <w:sz w:val="32"/>
          <w:szCs w:val="32"/>
          <w:bdr w:val="none" w:color="auto" w:sz="0" w:space="0"/>
          <w:shd w:val="clear" w:fill="FFFFFF"/>
          <w:lang w:val="en-US" w:eastAsia="zh-CN" w:bidi="ar"/>
        </w:rPr>
        <w:t>　　</w:t>
      </w:r>
      <w:r>
        <w:rPr>
          <w:rFonts w:ascii="黑体" w:hAnsi="宋体" w:eastAsia="黑体" w:cs="黑体"/>
          <w:i w:val="0"/>
          <w:iCs w:val="0"/>
          <w:caps w:val="0"/>
          <w:color w:val="555555"/>
          <w:spacing w:val="0"/>
          <w:kern w:val="0"/>
          <w:sz w:val="32"/>
          <w:szCs w:val="32"/>
          <w:bdr w:val="none" w:color="auto" w:sz="0" w:space="0"/>
          <w:shd w:val="clear" w:fill="FFFFFF"/>
          <w:lang w:val="en-US" w:eastAsia="zh-CN" w:bidi="ar"/>
        </w:rPr>
        <w:t>一、关于财政税费政策</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555555"/>
          <w:spacing w:val="0"/>
          <w:sz w:val="27"/>
          <w:szCs w:val="27"/>
        </w:rPr>
      </w:pPr>
      <w:r>
        <w:rPr>
          <w:rFonts w:hint="eastAsia" w:ascii="仿宋" w:hAnsi="仿宋" w:eastAsia="仿宋" w:cs="仿宋"/>
          <w:i w:val="0"/>
          <w:iCs w:val="0"/>
          <w:caps w:val="0"/>
          <w:color w:val="555555"/>
          <w:spacing w:val="0"/>
          <w:kern w:val="0"/>
          <w:sz w:val="32"/>
          <w:szCs w:val="32"/>
          <w:bdr w:val="none" w:color="auto" w:sz="0" w:space="0"/>
          <w:shd w:val="clear" w:fill="FFFFFF"/>
          <w:lang w:val="en-US" w:eastAsia="zh-CN" w:bidi="ar"/>
        </w:rPr>
        <w:t>　　1．加大中小微企业设备器具税前扣除力度，中小微企业2022年度内新购置的单位价值500万元以上的设备器具，折旧年限为3年的可选择一次性税前扣除，折旧年限为4年、5年、10年的可减半扣除；企业可按季度享受优惠，当年不足扣除形成的亏损，可按规定在以后5个纳税年度结转扣除。适用政策的中小微企业范围：一是信息传输业、建筑业、租赁和商务服务业，标准为从业人员2000人以下，或营业收入10亿元以下，或资产总额12亿元以下；二是房地产开发经营，标准为营业收入20亿元以下或资产总额1亿元以下；三是其他行业，标准为从业人员1000人以下或营业收入4亿元以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555555"/>
          <w:spacing w:val="0"/>
          <w:sz w:val="27"/>
          <w:szCs w:val="27"/>
        </w:rPr>
      </w:pPr>
      <w:r>
        <w:rPr>
          <w:rFonts w:hint="eastAsia" w:ascii="仿宋" w:hAnsi="仿宋" w:eastAsia="仿宋" w:cs="仿宋"/>
          <w:i w:val="0"/>
          <w:iCs w:val="0"/>
          <w:caps w:val="0"/>
          <w:color w:val="555555"/>
          <w:spacing w:val="0"/>
          <w:kern w:val="0"/>
          <w:sz w:val="32"/>
          <w:szCs w:val="32"/>
          <w:bdr w:val="none" w:color="auto" w:sz="0" w:space="0"/>
          <w:shd w:val="clear" w:fill="FFFFFF"/>
          <w:lang w:val="en-US" w:eastAsia="zh-CN" w:bidi="ar"/>
        </w:rPr>
        <w:t>　　2．延长阶段性税费缓缴政策，将2021年四季度实施的制造业中小微企业延缓缴纳部分税费政策，延续实施6个月；继续实施新能源汽车购置补贴、充电设施奖补、车船税减免优惠政策。</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555555"/>
          <w:spacing w:val="0"/>
          <w:sz w:val="27"/>
          <w:szCs w:val="27"/>
        </w:rPr>
      </w:pPr>
      <w:r>
        <w:rPr>
          <w:rFonts w:hint="eastAsia" w:ascii="仿宋" w:hAnsi="仿宋" w:eastAsia="仿宋" w:cs="仿宋"/>
          <w:i w:val="0"/>
          <w:iCs w:val="0"/>
          <w:caps w:val="0"/>
          <w:color w:val="555555"/>
          <w:spacing w:val="0"/>
          <w:kern w:val="0"/>
          <w:sz w:val="32"/>
          <w:szCs w:val="32"/>
          <w:bdr w:val="none" w:color="auto" w:sz="0" w:space="0"/>
          <w:shd w:val="clear" w:fill="FFFFFF"/>
          <w:lang w:val="en-US" w:eastAsia="zh-CN" w:bidi="ar"/>
        </w:rPr>
        <w:t>　　3．扩大地方“六税两费”减免政策适用主体范围，加大小型微利企业所得税减免力度。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555555"/>
          <w:spacing w:val="0"/>
          <w:sz w:val="27"/>
          <w:szCs w:val="27"/>
        </w:rPr>
      </w:pPr>
      <w:r>
        <w:rPr>
          <w:rFonts w:hint="eastAsia" w:ascii="仿宋" w:hAnsi="仿宋" w:eastAsia="仿宋" w:cs="仿宋"/>
          <w:i w:val="0"/>
          <w:iCs w:val="0"/>
          <w:caps w:val="0"/>
          <w:color w:val="555555"/>
          <w:spacing w:val="0"/>
          <w:kern w:val="0"/>
          <w:sz w:val="32"/>
          <w:szCs w:val="32"/>
          <w:bdr w:val="none" w:color="auto" w:sz="0" w:space="0"/>
          <w:shd w:val="clear" w:fill="FFFFFF"/>
          <w:lang w:val="en-US" w:eastAsia="zh-CN" w:bidi="ar"/>
        </w:rPr>
        <w:t>　　4．降低企业社保负担，2022年延续实施阶段性降低失业保险、工伤保险费率政策。</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555555"/>
          <w:spacing w:val="0"/>
          <w:sz w:val="27"/>
          <w:szCs w:val="27"/>
        </w:rPr>
      </w:pPr>
      <w:r>
        <w:rPr>
          <w:rFonts w:hint="eastAsia" w:ascii="仿宋" w:hAnsi="仿宋" w:eastAsia="仿宋" w:cs="仿宋"/>
          <w:i w:val="0"/>
          <w:iCs w:val="0"/>
          <w:caps w:val="0"/>
          <w:color w:val="555555"/>
          <w:spacing w:val="0"/>
          <w:kern w:val="0"/>
          <w:sz w:val="32"/>
          <w:szCs w:val="32"/>
          <w:bdr w:val="none" w:color="auto" w:sz="0" w:space="0"/>
          <w:shd w:val="clear" w:fill="FFFFFF"/>
          <w:lang w:val="en-US" w:eastAsia="zh-CN" w:bidi="ar"/>
        </w:rPr>
        <w:t>　　</w:t>
      </w:r>
      <w:r>
        <w:rPr>
          <w:rFonts w:hint="eastAsia" w:ascii="黑体" w:hAnsi="宋体" w:eastAsia="黑体" w:cs="黑体"/>
          <w:i w:val="0"/>
          <w:iCs w:val="0"/>
          <w:caps w:val="0"/>
          <w:color w:val="555555"/>
          <w:spacing w:val="0"/>
          <w:kern w:val="0"/>
          <w:sz w:val="32"/>
          <w:szCs w:val="32"/>
          <w:bdr w:val="none" w:color="auto" w:sz="0" w:space="0"/>
          <w:shd w:val="clear" w:fill="FFFFFF"/>
          <w:lang w:val="en-US" w:eastAsia="zh-CN" w:bidi="ar"/>
        </w:rPr>
        <w:t>二、关于金融信贷政策</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555555"/>
          <w:spacing w:val="0"/>
          <w:sz w:val="27"/>
          <w:szCs w:val="27"/>
        </w:rPr>
      </w:pPr>
      <w:r>
        <w:rPr>
          <w:rFonts w:hint="eastAsia" w:ascii="仿宋" w:hAnsi="仿宋" w:eastAsia="仿宋" w:cs="仿宋"/>
          <w:i w:val="0"/>
          <w:iCs w:val="0"/>
          <w:caps w:val="0"/>
          <w:color w:val="555555"/>
          <w:spacing w:val="0"/>
          <w:kern w:val="0"/>
          <w:sz w:val="32"/>
          <w:szCs w:val="32"/>
          <w:bdr w:val="none" w:color="auto" w:sz="0" w:space="0"/>
          <w:shd w:val="clear" w:fill="FFFFFF"/>
          <w:lang w:val="en-US" w:eastAsia="zh-CN" w:bidi="ar"/>
        </w:rPr>
        <w:t>　　5．2022年继续引导金融系统向实体经济让利；加强对银行支持制造业发展的考核约束，2022年推动大型国有银行优化经济资本分配，向制造业企业倾斜，推动制造业中长期贷款继续保持较快增长。</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555555"/>
          <w:spacing w:val="0"/>
          <w:sz w:val="27"/>
          <w:szCs w:val="27"/>
        </w:rPr>
      </w:pPr>
      <w:r>
        <w:rPr>
          <w:rFonts w:hint="eastAsia" w:ascii="仿宋" w:hAnsi="仿宋" w:eastAsia="仿宋" w:cs="仿宋"/>
          <w:i w:val="0"/>
          <w:iCs w:val="0"/>
          <w:caps w:val="0"/>
          <w:color w:val="555555"/>
          <w:spacing w:val="0"/>
          <w:kern w:val="0"/>
          <w:sz w:val="32"/>
          <w:szCs w:val="32"/>
          <w:bdr w:val="none" w:color="auto" w:sz="0" w:space="0"/>
          <w:shd w:val="clear" w:fill="FFFFFF"/>
          <w:lang w:val="en-US" w:eastAsia="zh-CN" w:bidi="ar"/>
        </w:rPr>
        <w:t>　　6．2022年人民银行对符合条件的地方法人银行，按普惠小微贷款余额增量的1%提供激励资金；符合条件的地方法人银行发放普惠小微信用贷款，可向人民银行申请再贷款优惠资金支持。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555555"/>
          <w:spacing w:val="0"/>
          <w:sz w:val="27"/>
          <w:szCs w:val="27"/>
        </w:rPr>
      </w:pPr>
      <w:r>
        <w:rPr>
          <w:rFonts w:hint="eastAsia" w:ascii="仿宋" w:hAnsi="仿宋" w:eastAsia="仿宋" w:cs="仿宋"/>
          <w:i w:val="0"/>
          <w:iCs w:val="0"/>
          <w:caps w:val="0"/>
          <w:color w:val="555555"/>
          <w:spacing w:val="0"/>
          <w:kern w:val="0"/>
          <w:sz w:val="32"/>
          <w:szCs w:val="32"/>
          <w:bdr w:val="none" w:color="auto" w:sz="0" w:space="0"/>
          <w:shd w:val="clear" w:fill="FFFFFF"/>
          <w:lang w:val="en-US" w:eastAsia="zh-CN" w:bidi="ar"/>
        </w:rPr>
        <w:t>　　7．落实煤电等行业绿色低碳转型金融政策，用好碳减排支持工具和2000亿元支持煤炭清洁高效利用专项再贷款，推动金融机构加快信贷投放进度，支持碳减排和煤炭清洁高效利用重大项目建设。</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555555"/>
          <w:spacing w:val="0"/>
          <w:sz w:val="27"/>
          <w:szCs w:val="27"/>
        </w:rPr>
      </w:pPr>
      <w:r>
        <w:rPr>
          <w:rFonts w:hint="eastAsia" w:ascii="仿宋" w:hAnsi="仿宋" w:eastAsia="仿宋" w:cs="仿宋"/>
          <w:i w:val="0"/>
          <w:iCs w:val="0"/>
          <w:caps w:val="0"/>
          <w:color w:val="555555"/>
          <w:spacing w:val="0"/>
          <w:kern w:val="0"/>
          <w:sz w:val="32"/>
          <w:szCs w:val="32"/>
          <w:bdr w:val="none" w:color="auto" w:sz="0" w:space="0"/>
          <w:shd w:val="clear" w:fill="FFFFFF"/>
          <w:lang w:val="en-US" w:eastAsia="zh-CN" w:bidi="ar"/>
        </w:rPr>
        <w:t>　　</w:t>
      </w:r>
      <w:r>
        <w:rPr>
          <w:rFonts w:hint="eastAsia" w:ascii="黑体" w:hAnsi="宋体" w:eastAsia="黑体" w:cs="黑体"/>
          <w:i w:val="0"/>
          <w:iCs w:val="0"/>
          <w:caps w:val="0"/>
          <w:color w:val="555555"/>
          <w:spacing w:val="0"/>
          <w:kern w:val="0"/>
          <w:sz w:val="32"/>
          <w:szCs w:val="32"/>
          <w:bdr w:val="none" w:color="auto" w:sz="0" w:space="0"/>
          <w:shd w:val="clear" w:fill="FFFFFF"/>
          <w:lang w:val="en-US" w:eastAsia="zh-CN" w:bidi="ar"/>
        </w:rPr>
        <w:t>三、关于保供稳价政策</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555555"/>
          <w:spacing w:val="0"/>
          <w:sz w:val="27"/>
          <w:szCs w:val="27"/>
        </w:rPr>
      </w:pPr>
      <w:r>
        <w:rPr>
          <w:rFonts w:hint="eastAsia" w:ascii="仿宋" w:hAnsi="仿宋" w:eastAsia="仿宋" w:cs="仿宋"/>
          <w:i w:val="0"/>
          <w:iCs w:val="0"/>
          <w:caps w:val="0"/>
          <w:color w:val="555555"/>
          <w:spacing w:val="0"/>
          <w:kern w:val="0"/>
          <w:sz w:val="32"/>
          <w:szCs w:val="32"/>
          <w:bdr w:val="none" w:color="auto" w:sz="0" w:space="0"/>
          <w:shd w:val="clear" w:fill="FFFFFF"/>
          <w:lang w:val="en-US" w:eastAsia="zh-CN" w:bidi="ar"/>
        </w:rPr>
        <w:t>　　8．坚持绿色发展，整合差别电价、阶梯电价、惩罚性电价等差别化电价政策，建立统一的高耗能行业阶梯电价制度，对能效达到基准水平的存量企业和能效达到标杆水平的在建、拟建企业用电不加价，未达到的根据能效水平差距实行阶梯电价，加价电费专项用于支持企业节能减污降碳技术改造。</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555555"/>
          <w:spacing w:val="0"/>
          <w:sz w:val="27"/>
          <w:szCs w:val="27"/>
        </w:rPr>
      </w:pPr>
      <w:r>
        <w:rPr>
          <w:rFonts w:hint="eastAsia" w:ascii="仿宋" w:hAnsi="仿宋" w:eastAsia="仿宋" w:cs="仿宋"/>
          <w:i w:val="0"/>
          <w:iCs w:val="0"/>
          <w:caps w:val="0"/>
          <w:color w:val="555555"/>
          <w:spacing w:val="0"/>
          <w:kern w:val="0"/>
          <w:sz w:val="32"/>
          <w:szCs w:val="32"/>
          <w:bdr w:val="none" w:color="auto" w:sz="0" w:space="0"/>
          <w:shd w:val="clear" w:fill="FFFFFF"/>
          <w:lang w:val="en-US" w:eastAsia="zh-CN" w:bidi="ar"/>
        </w:rPr>
        <w:t>　　9．做好铁矿石、化肥等重要原材料和初级产品保供稳价，进一步强化大宗商品期现货市场监管，加强大宗商品价格监测预警；支持企业投资开发铁矿、铜矿等国内具备资源条件、符合生态环境保护要求的矿产开发项目；推动废钢、废有色金属、废纸等再生资源综合利用，提高“城市矿山”对资源的保障能力。</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555555"/>
          <w:spacing w:val="0"/>
          <w:sz w:val="27"/>
          <w:szCs w:val="27"/>
        </w:rPr>
      </w:pPr>
      <w:r>
        <w:rPr>
          <w:rFonts w:hint="eastAsia" w:ascii="仿宋" w:hAnsi="仿宋" w:eastAsia="仿宋" w:cs="仿宋"/>
          <w:i w:val="0"/>
          <w:iCs w:val="0"/>
          <w:caps w:val="0"/>
          <w:color w:val="555555"/>
          <w:spacing w:val="0"/>
          <w:kern w:val="0"/>
          <w:sz w:val="32"/>
          <w:szCs w:val="32"/>
          <w:bdr w:val="none" w:color="auto" w:sz="0" w:space="0"/>
          <w:shd w:val="clear" w:fill="FFFFFF"/>
          <w:lang w:val="en-US" w:eastAsia="zh-CN" w:bidi="ar"/>
        </w:rPr>
        <w:t>　　</w:t>
      </w:r>
      <w:r>
        <w:rPr>
          <w:rFonts w:hint="eastAsia" w:ascii="黑体" w:hAnsi="宋体" w:eastAsia="黑体" w:cs="黑体"/>
          <w:i w:val="0"/>
          <w:iCs w:val="0"/>
          <w:caps w:val="0"/>
          <w:color w:val="555555"/>
          <w:spacing w:val="0"/>
          <w:kern w:val="0"/>
          <w:sz w:val="32"/>
          <w:szCs w:val="32"/>
          <w:bdr w:val="none" w:color="auto" w:sz="0" w:space="0"/>
          <w:shd w:val="clear" w:fill="FFFFFF"/>
          <w:lang w:val="en-US" w:eastAsia="zh-CN" w:bidi="ar"/>
        </w:rPr>
        <w:t>四、关于投资和外贸外资政策</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555555"/>
          <w:spacing w:val="0"/>
          <w:sz w:val="27"/>
          <w:szCs w:val="27"/>
        </w:rPr>
      </w:pPr>
      <w:r>
        <w:rPr>
          <w:rFonts w:hint="eastAsia" w:ascii="仿宋" w:hAnsi="仿宋" w:eastAsia="仿宋" w:cs="仿宋"/>
          <w:i w:val="0"/>
          <w:iCs w:val="0"/>
          <w:caps w:val="0"/>
          <w:color w:val="555555"/>
          <w:spacing w:val="0"/>
          <w:kern w:val="0"/>
          <w:sz w:val="32"/>
          <w:szCs w:val="32"/>
          <w:bdr w:val="none" w:color="auto" w:sz="0" w:space="0"/>
          <w:shd w:val="clear" w:fill="FFFFFF"/>
          <w:lang w:val="en-US" w:eastAsia="zh-CN" w:bidi="ar"/>
        </w:rPr>
        <w:t>　　10．组织实施光伏产业创新发展专项行动，实施好沙漠戈壁荒漠地区大型风电光伏基地建设，鼓励中东部地区发展分布式光伏，推进广东、福建、浙江、江苏、山东等海上风电发展，带动太阳能电池、风电装备产业链投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555555"/>
          <w:spacing w:val="0"/>
          <w:sz w:val="27"/>
          <w:szCs w:val="27"/>
        </w:rPr>
      </w:pPr>
      <w:r>
        <w:rPr>
          <w:rFonts w:hint="eastAsia" w:ascii="仿宋" w:hAnsi="仿宋" w:eastAsia="仿宋" w:cs="仿宋"/>
          <w:i w:val="0"/>
          <w:iCs w:val="0"/>
          <w:caps w:val="0"/>
          <w:color w:val="555555"/>
          <w:spacing w:val="0"/>
          <w:kern w:val="0"/>
          <w:sz w:val="32"/>
          <w:szCs w:val="32"/>
          <w:bdr w:val="none" w:color="auto" w:sz="0" w:space="0"/>
          <w:shd w:val="clear" w:fill="FFFFFF"/>
          <w:lang w:val="en-US" w:eastAsia="zh-CN" w:bidi="ar"/>
        </w:rPr>
        <w:t>　　11．推进供电煤耗300克标准煤/千瓦时以上煤电机组改造升级，在西北、东北、华北等地实施煤电机组灵活性改造，加快完成供热机组改造；对纳入规划的跨省区输电线路和具备条件的支撑性保障电源，要加快核准开工、建设投产，带动装备制造业投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555555"/>
          <w:spacing w:val="0"/>
          <w:sz w:val="27"/>
          <w:szCs w:val="27"/>
        </w:rPr>
      </w:pPr>
      <w:r>
        <w:rPr>
          <w:rFonts w:hint="eastAsia" w:ascii="仿宋" w:hAnsi="仿宋" w:eastAsia="仿宋" w:cs="仿宋"/>
          <w:i w:val="0"/>
          <w:iCs w:val="0"/>
          <w:caps w:val="0"/>
          <w:color w:val="555555"/>
          <w:spacing w:val="0"/>
          <w:kern w:val="0"/>
          <w:sz w:val="32"/>
          <w:szCs w:val="32"/>
          <w:bdr w:val="none" w:color="auto" w:sz="0" w:space="0"/>
          <w:shd w:val="clear" w:fill="FFFFFF"/>
          <w:lang w:val="en-US" w:eastAsia="zh-CN" w:bidi="ar"/>
        </w:rPr>
        <w:t>　　12．启动实施钢铁、有色、建材、石化等重点领域企业节能降碳技术改造工程；加快实施制造业核心竞争力提升五年行动计划和制造业领域国家专项规划重大工程，启动一批产业基础再造工程项目，推进制造业强链补链，推动重点地区沿海、内河老旧船舶更新改造，加快培育一批先进制造业集群，加大“专精特新”中小企业培育力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555555"/>
          <w:spacing w:val="0"/>
          <w:sz w:val="27"/>
          <w:szCs w:val="27"/>
        </w:rPr>
      </w:pPr>
      <w:r>
        <w:rPr>
          <w:rFonts w:hint="eastAsia" w:ascii="仿宋" w:hAnsi="仿宋" w:eastAsia="仿宋" w:cs="仿宋"/>
          <w:i w:val="0"/>
          <w:iCs w:val="0"/>
          <w:caps w:val="0"/>
          <w:color w:val="555555"/>
          <w:spacing w:val="0"/>
          <w:kern w:val="0"/>
          <w:sz w:val="32"/>
          <w:szCs w:val="32"/>
          <w:bdr w:val="none" w:color="auto" w:sz="0" w:space="0"/>
          <w:shd w:val="clear" w:fill="FFFFFF"/>
          <w:lang w:val="en-US" w:eastAsia="zh-CN" w:bidi="ar"/>
        </w:rPr>
        <w:t>　　13．加快新型基础设施重大项目建设，引导电信运营商加快5G建设进度，支持工业企业加快数字化改造升级，推进制造业数字化转型；启动实施北斗产业化重大工程，推动重大战略区域北斗规模化应用；加快实施大数据中心建设专项行动，实施“东数西算”工程，加快长三角、京津冀、粤港澳大湾区等8个国家级数据中心枢纽节点建设。推动基础设施领域不动产投资信托基金（REITs）健康发展，有效盘活存量资产，形成存量资产和新增投资的良性循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555555"/>
          <w:spacing w:val="0"/>
          <w:sz w:val="27"/>
          <w:szCs w:val="27"/>
        </w:rPr>
      </w:pPr>
      <w:r>
        <w:rPr>
          <w:rFonts w:hint="eastAsia" w:ascii="仿宋" w:hAnsi="仿宋" w:eastAsia="仿宋" w:cs="仿宋"/>
          <w:i w:val="0"/>
          <w:iCs w:val="0"/>
          <w:caps w:val="0"/>
          <w:color w:val="555555"/>
          <w:spacing w:val="0"/>
          <w:kern w:val="0"/>
          <w:sz w:val="32"/>
          <w:szCs w:val="32"/>
          <w:bdr w:val="none" w:color="auto" w:sz="0" w:space="0"/>
          <w:shd w:val="clear" w:fill="FFFFFF"/>
          <w:lang w:val="en-US" w:eastAsia="zh-CN" w:bidi="ar"/>
        </w:rPr>
        <w:t>　　14．鼓励具备跨境金融服务能力的金融机构在依法合规、风险可控前提下，加大对传统外贸企业、跨境电商和物流企业等建设和使用海外仓的金融支持。进一步畅通国际运输，加强对海运市场相关主体收费行为的监管，依法查处违法违规收费行为；鼓励外贸企业与航运企业签订长期协议，引导各地方、进出口商协会组织中小微外贸企业与航运企业进行直客对接；增加中欧班列车次，引导企业通过中欧班列扩大向西出口。</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555555"/>
          <w:spacing w:val="0"/>
          <w:sz w:val="27"/>
          <w:szCs w:val="27"/>
        </w:rPr>
      </w:pPr>
      <w:r>
        <w:rPr>
          <w:rFonts w:hint="eastAsia" w:ascii="仿宋" w:hAnsi="仿宋" w:eastAsia="仿宋" w:cs="仿宋"/>
          <w:i w:val="0"/>
          <w:iCs w:val="0"/>
          <w:caps w:val="0"/>
          <w:color w:val="555555"/>
          <w:spacing w:val="0"/>
          <w:kern w:val="0"/>
          <w:sz w:val="32"/>
          <w:szCs w:val="32"/>
          <w:bdr w:val="none" w:color="auto" w:sz="0" w:space="0"/>
          <w:shd w:val="clear" w:fill="FFFFFF"/>
          <w:lang w:val="en-US" w:eastAsia="zh-CN" w:bidi="ar"/>
        </w:rPr>
        <w:t>　　15．多措并举支持制造业引进外资，加大对制造业重大外资项目要素保障力度，便利外籍人员及其家属来华，推动早签约、早投产、早达产；加快修订《鼓励外商投资产业目录》，引导外资更多投向高端制造领域；出台支持外资研发中心创新发展政策举措，提升产业技术水平和创新效能。全面贯彻落实外商投资法，保障外资企业和内资企业同等适用各级政府出台的支持政策。</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555555"/>
          <w:spacing w:val="0"/>
          <w:sz w:val="27"/>
          <w:szCs w:val="27"/>
        </w:rPr>
      </w:pPr>
      <w:r>
        <w:rPr>
          <w:rFonts w:hint="eastAsia" w:ascii="仿宋" w:hAnsi="仿宋" w:eastAsia="仿宋" w:cs="仿宋"/>
          <w:i w:val="0"/>
          <w:iCs w:val="0"/>
          <w:caps w:val="0"/>
          <w:color w:val="555555"/>
          <w:spacing w:val="0"/>
          <w:kern w:val="0"/>
          <w:sz w:val="32"/>
          <w:szCs w:val="32"/>
          <w:bdr w:val="none" w:color="auto" w:sz="0" w:space="0"/>
          <w:shd w:val="clear" w:fill="FFFFFF"/>
          <w:lang w:val="en-US" w:eastAsia="zh-CN" w:bidi="ar"/>
        </w:rPr>
        <w:t>　　</w:t>
      </w:r>
      <w:r>
        <w:rPr>
          <w:rFonts w:hint="eastAsia" w:ascii="黑体" w:hAnsi="宋体" w:eastAsia="黑体" w:cs="黑体"/>
          <w:i w:val="0"/>
          <w:iCs w:val="0"/>
          <w:caps w:val="0"/>
          <w:color w:val="555555"/>
          <w:spacing w:val="0"/>
          <w:kern w:val="0"/>
          <w:sz w:val="32"/>
          <w:szCs w:val="32"/>
          <w:bdr w:val="none" w:color="auto" w:sz="0" w:space="0"/>
          <w:shd w:val="clear" w:fill="FFFFFF"/>
          <w:lang w:val="en-US" w:eastAsia="zh-CN" w:bidi="ar"/>
        </w:rPr>
        <w:t>五、关于用地、用能和环境政策</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555555"/>
          <w:spacing w:val="0"/>
          <w:sz w:val="27"/>
          <w:szCs w:val="27"/>
        </w:rPr>
      </w:pPr>
      <w:r>
        <w:rPr>
          <w:rFonts w:hint="eastAsia" w:ascii="仿宋" w:hAnsi="仿宋" w:eastAsia="仿宋" w:cs="仿宋"/>
          <w:i w:val="0"/>
          <w:iCs w:val="0"/>
          <w:caps w:val="0"/>
          <w:color w:val="555555"/>
          <w:spacing w:val="0"/>
          <w:kern w:val="0"/>
          <w:sz w:val="32"/>
          <w:szCs w:val="32"/>
          <w:bdr w:val="none" w:color="auto" w:sz="0" w:space="0"/>
          <w:shd w:val="clear" w:fill="FFFFFF"/>
          <w:lang w:val="en-US" w:eastAsia="zh-CN" w:bidi="ar"/>
        </w:rPr>
        <w:t>　　16．保障纳入规划的重大项目土地供应，支持产业用地实行“标准地”出让，提高配置效率；支持不同产业用地类型按程序合理转换，完善土地用途变更、整合、置换等政策；鼓励采用长期租赁、先租后让、弹性年期供应等方式供应产业用地。</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555555"/>
          <w:spacing w:val="0"/>
          <w:sz w:val="27"/>
          <w:szCs w:val="27"/>
        </w:rPr>
      </w:pPr>
      <w:r>
        <w:rPr>
          <w:rFonts w:hint="eastAsia" w:ascii="仿宋" w:hAnsi="仿宋" w:eastAsia="仿宋" w:cs="仿宋"/>
          <w:i w:val="0"/>
          <w:iCs w:val="0"/>
          <w:caps w:val="0"/>
          <w:color w:val="555555"/>
          <w:spacing w:val="0"/>
          <w:kern w:val="0"/>
          <w:sz w:val="32"/>
          <w:szCs w:val="32"/>
          <w:bdr w:val="none" w:color="auto" w:sz="0" w:space="0"/>
          <w:shd w:val="clear" w:fill="FFFFFF"/>
          <w:lang w:val="en-US" w:eastAsia="zh-CN" w:bidi="ar"/>
        </w:rPr>
        <w:t>　　17．落实好新增可再生能源和原料用能消费不纳入能源消费总量控制政策；优化考核频次，能耗强度目标在“十四五”规划期内统筹考核，避免因能耗指标完成进度问题限制企业正常用能；落实好国家重大项目能耗单列政策，加快确定并组织实施“十四五”期间符合重大项目能耗单列要求的产业项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555555"/>
          <w:spacing w:val="0"/>
          <w:sz w:val="27"/>
          <w:szCs w:val="27"/>
        </w:rPr>
      </w:pPr>
      <w:r>
        <w:rPr>
          <w:rFonts w:hint="eastAsia" w:ascii="仿宋" w:hAnsi="仿宋" w:eastAsia="仿宋" w:cs="仿宋"/>
          <w:i w:val="0"/>
          <w:iCs w:val="0"/>
          <w:caps w:val="0"/>
          <w:color w:val="555555"/>
          <w:spacing w:val="0"/>
          <w:kern w:val="0"/>
          <w:sz w:val="32"/>
          <w:szCs w:val="32"/>
          <w:bdr w:val="none" w:color="auto" w:sz="0" w:space="0"/>
          <w:shd w:val="clear" w:fill="FFFFFF"/>
          <w:lang w:val="en-US" w:eastAsia="zh-CN" w:bidi="ar"/>
        </w:rPr>
        <w:t>　　18．完善重污染天气应对分级分区管理，坚持精准实施企业生产调控措施；对大型风光电基地建设、节能降碳改造等重大项目，加快规划环评和项目环评进度，保障尽快开工建设。</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555555"/>
          <w:spacing w:val="0"/>
          <w:sz w:val="27"/>
          <w:szCs w:val="27"/>
        </w:rPr>
      </w:pPr>
      <w:r>
        <w:rPr>
          <w:rFonts w:hint="eastAsia" w:ascii="仿宋" w:hAnsi="仿宋" w:eastAsia="仿宋" w:cs="仿宋"/>
          <w:i w:val="0"/>
          <w:iCs w:val="0"/>
          <w:caps w:val="0"/>
          <w:color w:val="555555"/>
          <w:spacing w:val="0"/>
          <w:kern w:val="0"/>
          <w:sz w:val="32"/>
          <w:szCs w:val="32"/>
          <w:bdr w:val="none" w:color="auto" w:sz="0" w:space="0"/>
          <w:shd w:val="clear" w:fill="FFFFFF"/>
          <w:lang w:val="en-US" w:eastAsia="zh-CN" w:bidi="ar"/>
        </w:rPr>
        <w:t>　　</w:t>
      </w:r>
      <w:r>
        <w:rPr>
          <w:rFonts w:hint="eastAsia" w:ascii="黑体" w:hAnsi="宋体" w:eastAsia="黑体" w:cs="黑体"/>
          <w:i w:val="0"/>
          <w:iCs w:val="0"/>
          <w:caps w:val="0"/>
          <w:color w:val="555555"/>
          <w:spacing w:val="0"/>
          <w:kern w:val="0"/>
          <w:sz w:val="32"/>
          <w:szCs w:val="32"/>
          <w:bdr w:val="none" w:color="auto" w:sz="0" w:space="0"/>
          <w:shd w:val="clear" w:fill="FFFFFF"/>
          <w:lang w:val="en-US" w:eastAsia="zh-CN" w:bidi="ar"/>
        </w:rPr>
        <w:t>六、保障措施</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555555"/>
          <w:spacing w:val="0"/>
          <w:sz w:val="27"/>
          <w:szCs w:val="27"/>
        </w:rPr>
      </w:pPr>
      <w:r>
        <w:rPr>
          <w:rFonts w:hint="eastAsia" w:ascii="仿宋" w:hAnsi="仿宋" w:eastAsia="仿宋" w:cs="仿宋"/>
          <w:i w:val="0"/>
          <w:iCs w:val="0"/>
          <w:caps w:val="0"/>
          <w:color w:val="555555"/>
          <w:spacing w:val="0"/>
          <w:kern w:val="0"/>
          <w:sz w:val="32"/>
          <w:szCs w:val="32"/>
          <w:bdr w:val="none" w:color="auto" w:sz="0" w:space="0"/>
          <w:shd w:val="clear" w:fill="FFFFFF"/>
          <w:lang w:val="en-US" w:eastAsia="zh-CN" w:bidi="ar"/>
        </w:rPr>
        <w:t>　　国家发展改革委、工业和信息化部要加强统筹协调，做好重点工业大省以及重点行业、重点园区和重点企业运行情况调度监测；加大协调推动有关政策出台、执行落实工作力度，适时开展政策效果评估。国务院有关部门要各司其责，加强配合，积极推出有利于振作工业经济的举措，努力形成政策合力，尽早显现政策效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555555"/>
          <w:spacing w:val="0"/>
          <w:sz w:val="27"/>
          <w:szCs w:val="27"/>
        </w:rPr>
      </w:pPr>
      <w:r>
        <w:rPr>
          <w:rFonts w:hint="eastAsia" w:ascii="仿宋" w:hAnsi="仿宋" w:eastAsia="仿宋" w:cs="仿宋"/>
          <w:i w:val="0"/>
          <w:iCs w:val="0"/>
          <w:caps w:val="0"/>
          <w:color w:val="555555"/>
          <w:spacing w:val="0"/>
          <w:kern w:val="0"/>
          <w:sz w:val="32"/>
          <w:szCs w:val="32"/>
          <w:bdr w:val="none" w:color="auto" w:sz="0" w:space="0"/>
          <w:shd w:val="clear" w:fill="FFFFFF"/>
          <w:lang w:val="en-US" w:eastAsia="zh-CN" w:bidi="ar"/>
        </w:rPr>
        <w:t>　　各省级地方政府要设立由省政府领导牵头的协调机制，制定实施本地区促进工业经济平稳增长的行动方案。各级地方政府要结合本地产业发展特点，在保护市场主体权益、优化营商环境等方面出台更为有力有效的改革举措；要总结推广新冠肺炎疫情防控中稳定工业运行的有效做法和经验，科学精准做好疫情防控工作，在突发疫情情况下保障重点产业园区、重点工业企业正常有序运行；针对国内疫情点状散发可能带来的人员返程受限、产业链供应链受阻等风险提前制定应对预案，尽最大努力保障企业稳定生产；加大对企业在重要节假日开复工情况的监测调度，及时协调解决困难问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555555"/>
          <w:spacing w:val="0"/>
          <w:sz w:val="27"/>
          <w:szCs w:val="27"/>
        </w:rPr>
      </w:pPr>
      <w:r>
        <w:rPr>
          <w:rFonts w:hint="eastAsia" w:ascii="仿宋" w:hAnsi="仿宋" w:eastAsia="仿宋" w:cs="仿宋"/>
          <w:i w:val="0"/>
          <w:iCs w:val="0"/>
          <w:caps w:val="0"/>
          <w:color w:val="555555"/>
          <w:spacing w:val="0"/>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555555"/>
          <w:spacing w:val="0"/>
          <w:sz w:val="27"/>
          <w:szCs w:val="27"/>
        </w:rPr>
      </w:pPr>
      <w:r>
        <w:rPr>
          <w:rFonts w:hint="eastAsia" w:ascii="仿宋" w:hAnsi="仿宋" w:eastAsia="仿宋" w:cs="仿宋"/>
          <w:i w:val="0"/>
          <w:iCs w:val="0"/>
          <w:caps w:val="0"/>
          <w:color w:val="555555"/>
          <w:spacing w:val="0"/>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555555"/>
          <w:spacing w:val="0"/>
          <w:sz w:val="27"/>
          <w:szCs w:val="27"/>
        </w:rPr>
      </w:pPr>
      <w:r>
        <w:rPr>
          <w:rFonts w:hint="eastAsia" w:ascii="仿宋" w:hAnsi="仿宋" w:eastAsia="仿宋" w:cs="仿宋"/>
          <w:i w:val="0"/>
          <w:iCs w:val="0"/>
          <w:caps w:val="0"/>
          <w:color w:val="555555"/>
          <w:spacing w:val="0"/>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right"/>
        <w:rPr>
          <w:rFonts w:hint="eastAsia" w:ascii="微软雅黑" w:hAnsi="微软雅黑" w:eastAsia="微软雅黑" w:cs="微软雅黑"/>
          <w:i w:val="0"/>
          <w:iCs w:val="0"/>
          <w:caps w:val="0"/>
          <w:color w:val="555555"/>
          <w:spacing w:val="0"/>
          <w:sz w:val="27"/>
          <w:szCs w:val="27"/>
        </w:rPr>
      </w:pPr>
      <w:r>
        <w:rPr>
          <w:rFonts w:hint="eastAsia" w:ascii="仿宋" w:hAnsi="仿宋" w:eastAsia="仿宋" w:cs="仿宋"/>
          <w:i w:val="0"/>
          <w:iCs w:val="0"/>
          <w:caps w:val="0"/>
          <w:color w:val="555555"/>
          <w:spacing w:val="0"/>
          <w:kern w:val="0"/>
          <w:sz w:val="32"/>
          <w:szCs w:val="32"/>
          <w:bdr w:val="none" w:color="auto" w:sz="0" w:space="0"/>
          <w:shd w:val="clear" w:fill="FFFFFF"/>
          <w:lang w:val="en-US" w:eastAsia="zh-CN" w:bidi="ar"/>
        </w:rPr>
        <w:t>国家发展改革委</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right"/>
        <w:rPr>
          <w:rFonts w:hint="eastAsia" w:ascii="微软雅黑" w:hAnsi="微软雅黑" w:eastAsia="微软雅黑" w:cs="微软雅黑"/>
          <w:i w:val="0"/>
          <w:iCs w:val="0"/>
          <w:caps w:val="0"/>
          <w:color w:val="555555"/>
          <w:spacing w:val="0"/>
          <w:sz w:val="27"/>
          <w:szCs w:val="27"/>
        </w:rPr>
      </w:pPr>
      <w:r>
        <w:rPr>
          <w:rFonts w:hint="eastAsia" w:ascii="仿宋" w:hAnsi="仿宋" w:eastAsia="仿宋" w:cs="仿宋"/>
          <w:i w:val="0"/>
          <w:iCs w:val="0"/>
          <w:caps w:val="0"/>
          <w:color w:val="555555"/>
          <w:spacing w:val="0"/>
          <w:kern w:val="0"/>
          <w:sz w:val="32"/>
          <w:szCs w:val="32"/>
          <w:bdr w:val="none" w:color="auto" w:sz="0" w:space="0"/>
          <w:shd w:val="clear" w:fill="FFFFFF"/>
          <w:lang w:val="en-US" w:eastAsia="zh-CN" w:bidi="ar"/>
        </w:rPr>
        <w:t>工业和信息化部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right"/>
        <w:rPr>
          <w:rFonts w:hint="eastAsia" w:ascii="微软雅黑" w:hAnsi="微软雅黑" w:eastAsia="微软雅黑" w:cs="微软雅黑"/>
          <w:i w:val="0"/>
          <w:iCs w:val="0"/>
          <w:caps w:val="0"/>
          <w:color w:val="555555"/>
          <w:spacing w:val="0"/>
          <w:sz w:val="27"/>
          <w:szCs w:val="27"/>
        </w:rPr>
      </w:pPr>
      <w:r>
        <w:rPr>
          <w:rFonts w:hint="eastAsia" w:ascii="仿宋" w:hAnsi="仿宋" w:eastAsia="仿宋" w:cs="仿宋"/>
          <w:i w:val="0"/>
          <w:iCs w:val="0"/>
          <w:caps w:val="0"/>
          <w:color w:val="555555"/>
          <w:spacing w:val="0"/>
          <w:kern w:val="0"/>
          <w:sz w:val="32"/>
          <w:szCs w:val="32"/>
          <w:bdr w:val="none" w:color="auto" w:sz="0" w:space="0"/>
          <w:shd w:val="clear" w:fill="FFFFFF"/>
          <w:lang w:val="en-US" w:eastAsia="zh-CN" w:bidi="ar"/>
        </w:rPr>
        <w:t>财政部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right"/>
        <w:rPr>
          <w:rFonts w:hint="eastAsia" w:ascii="微软雅黑" w:hAnsi="微软雅黑" w:eastAsia="微软雅黑" w:cs="微软雅黑"/>
          <w:i w:val="0"/>
          <w:iCs w:val="0"/>
          <w:caps w:val="0"/>
          <w:color w:val="555555"/>
          <w:spacing w:val="0"/>
          <w:sz w:val="27"/>
          <w:szCs w:val="27"/>
        </w:rPr>
      </w:pPr>
      <w:r>
        <w:rPr>
          <w:rFonts w:hint="eastAsia" w:ascii="仿宋" w:hAnsi="仿宋" w:eastAsia="仿宋" w:cs="仿宋"/>
          <w:i w:val="0"/>
          <w:iCs w:val="0"/>
          <w:caps w:val="0"/>
          <w:color w:val="555555"/>
          <w:spacing w:val="0"/>
          <w:kern w:val="0"/>
          <w:sz w:val="32"/>
          <w:szCs w:val="32"/>
          <w:bdr w:val="none" w:color="auto" w:sz="0" w:space="0"/>
          <w:shd w:val="clear" w:fill="FFFFFF"/>
          <w:lang w:val="en-US" w:eastAsia="zh-CN" w:bidi="ar"/>
        </w:rPr>
        <w:t>人力资源社会保障部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right"/>
        <w:rPr>
          <w:rFonts w:hint="eastAsia" w:ascii="微软雅黑" w:hAnsi="微软雅黑" w:eastAsia="微软雅黑" w:cs="微软雅黑"/>
          <w:i w:val="0"/>
          <w:iCs w:val="0"/>
          <w:caps w:val="0"/>
          <w:color w:val="555555"/>
          <w:spacing w:val="0"/>
          <w:sz w:val="27"/>
          <w:szCs w:val="27"/>
        </w:rPr>
      </w:pPr>
      <w:r>
        <w:rPr>
          <w:rFonts w:hint="eastAsia" w:ascii="仿宋" w:hAnsi="仿宋" w:eastAsia="仿宋" w:cs="仿宋"/>
          <w:i w:val="0"/>
          <w:iCs w:val="0"/>
          <w:caps w:val="0"/>
          <w:color w:val="555555"/>
          <w:spacing w:val="0"/>
          <w:kern w:val="0"/>
          <w:sz w:val="32"/>
          <w:szCs w:val="32"/>
          <w:bdr w:val="none" w:color="auto" w:sz="0" w:space="0"/>
          <w:shd w:val="clear" w:fill="FFFFFF"/>
          <w:lang w:val="en-US" w:eastAsia="zh-CN" w:bidi="ar"/>
        </w:rPr>
        <w:t>自然资源部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right"/>
        <w:rPr>
          <w:rFonts w:hint="eastAsia" w:ascii="微软雅黑" w:hAnsi="微软雅黑" w:eastAsia="微软雅黑" w:cs="微软雅黑"/>
          <w:i w:val="0"/>
          <w:iCs w:val="0"/>
          <w:caps w:val="0"/>
          <w:color w:val="555555"/>
          <w:spacing w:val="0"/>
          <w:sz w:val="27"/>
          <w:szCs w:val="27"/>
        </w:rPr>
      </w:pPr>
      <w:r>
        <w:rPr>
          <w:rFonts w:hint="eastAsia" w:ascii="仿宋" w:hAnsi="仿宋" w:eastAsia="仿宋" w:cs="仿宋"/>
          <w:i w:val="0"/>
          <w:iCs w:val="0"/>
          <w:caps w:val="0"/>
          <w:color w:val="555555"/>
          <w:spacing w:val="0"/>
          <w:kern w:val="0"/>
          <w:sz w:val="32"/>
          <w:szCs w:val="32"/>
          <w:bdr w:val="none" w:color="auto" w:sz="0" w:space="0"/>
          <w:shd w:val="clear" w:fill="FFFFFF"/>
          <w:lang w:val="en-US" w:eastAsia="zh-CN" w:bidi="ar"/>
        </w:rPr>
        <w:t>生态环境部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right"/>
        <w:rPr>
          <w:rFonts w:hint="eastAsia" w:ascii="微软雅黑" w:hAnsi="微软雅黑" w:eastAsia="微软雅黑" w:cs="微软雅黑"/>
          <w:i w:val="0"/>
          <w:iCs w:val="0"/>
          <w:caps w:val="0"/>
          <w:color w:val="555555"/>
          <w:spacing w:val="0"/>
          <w:sz w:val="27"/>
          <w:szCs w:val="27"/>
        </w:rPr>
      </w:pPr>
      <w:r>
        <w:rPr>
          <w:rFonts w:hint="eastAsia" w:ascii="仿宋" w:hAnsi="仿宋" w:eastAsia="仿宋" w:cs="仿宋"/>
          <w:i w:val="0"/>
          <w:iCs w:val="0"/>
          <w:caps w:val="0"/>
          <w:color w:val="555555"/>
          <w:spacing w:val="0"/>
          <w:kern w:val="0"/>
          <w:sz w:val="32"/>
          <w:szCs w:val="32"/>
          <w:bdr w:val="none" w:color="auto" w:sz="0" w:space="0"/>
          <w:shd w:val="clear" w:fill="FFFFFF"/>
          <w:lang w:val="en-US" w:eastAsia="zh-CN" w:bidi="ar"/>
        </w:rPr>
        <w:t>交通运输部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right"/>
        <w:rPr>
          <w:rFonts w:hint="eastAsia" w:ascii="微软雅黑" w:hAnsi="微软雅黑" w:eastAsia="微软雅黑" w:cs="微软雅黑"/>
          <w:i w:val="0"/>
          <w:iCs w:val="0"/>
          <w:caps w:val="0"/>
          <w:color w:val="555555"/>
          <w:spacing w:val="0"/>
          <w:sz w:val="27"/>
          <w:szCs w:val="27"/>
        </w:rPr>
      </w:pPr>
      <w:r>
        <w:rPr>
          <w:rFonts w:hint="eastAsia" w:ascii="仿宋" w:hAnsi="仿宋" w:eastAsia="仿宋" w:cs="仿宋"/>
          <w:i w:val="0"/>
          <w:iCs w:val="0"/>
          <w:caps w:val="0"/>
          <w:color w:val="555555"/>
          <w:spacing w:val="0"/>
          <w:kern w:val="0"/>
          <w:sz w:val="32"/>
          <w:szCs w:val="32"/>
          <w:bdr w:val="none" w:color="auto" w:sz="0" w:space="0"/>
          <w:shd w:val="clear" w:fill="FFFFFF"/>
          <w:lang w:val="en-US" w:eastAsia="zh-CN" w:bidi="ar"/>
        </w:rPr>
        <w:t>商务部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right"/>
        <w:rPr>
          <w:rFonts w:hint="eastAsia" w:ascii="微软雅黑" w:hAnsi="微软雅黑" w:eastAsia="微软雅黑" w:cs="微软雅黑"/>
          <w:i w:val="0"/>
          <w:iCs w:val="0"/>
          <w:caps w:val="0"/>
          <w:color w:val="555555"/>
          <w:spacing w:val="0"/>
          <w:sz w:val="27"/>
          <w:szCs w:val="27"/>
        </w:rPr>
      </w:pPr>
      <w:r>
        <w:rPr>
          <w:rFonts w:hint="eastAsia" w:ascii="仿宋" w:hAnsi="仿宋" w:eastAsia="仿宋" w:cs="仿宋"/>
          <w:i w:val="0"/>
          <w:iCs w:val="0"/>
          <w:caps w:val="0"/>
          <w:color w:val="555555"/>
          <w:spacing w:val="0"/>
          <w:kern w:val="0"/>
          <w:sz w:val="32"/>
          <w:szCs w:val="32"/>
          <w:bdr w:val="none" w:color="auto" w:sz="0" w:space="0"/>
          <w:shd w:val="clear" w:fill="FFFFFF"/>
          <w:lang w:val="en-US" w:eastAsia="zh-CN" w:bidi="ar"/>
        </w:rPr>
        <w:t>人民银行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right"/>
        <w:rPr>
          <w:rFonts w:hint="eastAsia" w:ascii="微软雅黑" w:hAnsi="微软雅黑" w:eastAsia="微软雅黑" w:cs="微软雅黑"/>
          <w:i w:val="0"/>
          <w:iCs w:val="0"/>
          <w:caps w:val="0"/>
          <w:color w:val="555555"/>
          <w:spacing w:val="0"/>
          <w:sz w:val="27"/>
          <w:szCs w:val="27"/>
        </w:rPr>
      </w:pPr>
      <w:r>
        <w:rPr>
          <w:rFonts w:hint="eastAsia" w:ascii="仿宋" w:hAnsi="仿宋" w:eastAsia="仿宋" w:cs="仿宋"/>
          <w:i w:val="0"/>
          <w:iCs w:val="0"/>
          <w:caps w:val="0"/>
          <w:color w:val="555555"/>
          <w:spacing w:val="0"/>
          <w:kern w:val="0"/>
          <w:sz w:val="32"/>
          <w:szCs w:val="32"/>
          <w:bdr w:val="none" w:color="auto" w:sz="0" w:space="0"/>
          <w:shd w:val="clear" w:fill="FFFFFF"/>
          <w:lang w:val="en-US" w:eastAsia="zh-CN" w:bidi="ar"/>
        </w:rPr>
        <w:t>税务总局</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right"/>
        <w:rPr>
          <w:rFonts w:hint="eastAsia" w:ascii="微软雅黑" w:hAnsi="微软雅黑" w:eastAsia="微软雅黑" w:cs="微软雅黑"/>
          <w:i w:val="0"/>
          <w:iCs w:val="0"/>
          <w:caps w:val="0"/>
          <w:color w:val="555555"/>
          <w:spacing w:val="0"/>
          <w:sz w:val="27"/>
          <w:szCs w:val="27"/>
        </w:rPr>
      </w:pPr>
      <w:r>
        <w:rPr>
          <w:rFonts w:hint="eastAsia" w:ascii="仿宋" w:hAnsi="仿宋" w:eastAsia="仿宋" w:cs="仿宋"/>
          <w:i w:val="0"/>
          <w:iCs w:val="0"/>
          <w:caps w:val="0"/>
          <w:color w:val="555555"/>
          <w:spacing w:val="0"/>
          <w:kern w:val="0"/>
          <w:sz w:val="32"/>
          <w:szCs w:val="32"/>
          <w:bdr w:val="none" w:color="auto" w:sz="0" w:space="0"/>
          <w:shd w:val="clear" w:fill="FFFFFF"/>
          <w:lang w:val="en-US" w:eastAsia="zh-CN" w:bidi="ar"/>
        </w:rPr>
        <w:t>银保监会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right"/>
        <w:rPr>
          <w:rFonts w:hint="eastAsia" w:ascii="微软雅黑" w:hAnsi="微软雅黑" w:eastAsia="微软雅黑" w:cs="微软雅黑"/>
          <w:i w:val="0"/>
          <w:iCs w:val="0"/>
          <w:caps w:val="0"/>
          <w:color w:val="555555"/>
          <w:spacing w:val="0"/>
          <w:sz w:val="27"/>
          <w:szCs w:val="27"/>
        </w:rPr>
      </w:pPr>
      <w:r>
        <w:rPr>
          <w:rFonts w:hint="eastAsia" w:ascii="仿宋" w:hAnsi="仿宋" w:eastAsia="仿宋" w:cs="仿宋"/>
          <w:i w:val="0"/>
          <w:iCs w:val="0"/>
          <w:caps w:val="0"/>
          <w:color w:val="555555"/>
          <w:spacing w:val="0"/>
          <w:kern w:val="0"/>
          <w:sz w:val="32"/>
          <w:szCs w:val="32"/>
          <w:bdr w:val="none" w:color="auto" w:sz="0" w:space="0"/>
          <w:shd w:val="clear" w:fill="FFFFFF"/>
          <w:lang w:val="en-US" w:eastAsia="zh-CN" w:bidi="ar"/>
        </w:rPr>
        <w:t>能源局</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right"/>
        <w:rPr>
          <w:rFonts w:hint="eastAsia" w:ascii="微软雅黑" w:hAnsi="微软雅黑" w:eastAsia="微软雅黑" w:cs="微软雅黑"/>
          <w:i w:val="0"/>
          <w:iCs w:val="0"/>
          <w:caps w:val="0"/>
          <w:color w:val="555555"/>
          <w:spacing w:val="0"/>
          <w:sz w:val="27"/>
          <w:szCs w:val="27"/>
        </w:rPr>
      </w:pPr>
      <w:r>
        <w:rPr>
          <w:rFonts w:hint="eastAsia" w:ascii="仿宋" w:hAnsi="仿宋" w:eastAsia="仿宋" w:cs="仿宋"/>
          <w:i w:val="0"/>
          <w:iCs w:val="0"/>
          <w:caps w:val="0"/>
          <w:color w:val="555555"/>
          <w:spacing w:val="0"/>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right"/>
        <w:rPr>
          <w:rFonts w:hint="eastAsia" w:ascii="微软雅黑" w:hAnsi="微软雅黑" w:eastAsia="微软雅黑" w:cs="微软雅黑"/>
          <w:i w:val="0"/>
          <w:iCs w:val="0"/>
          <w:caps w:val="0"/>
          <w:color w:val="555555"/>
          <w:spacing w:val="0"/>
          <w:sz w:val="27"/>
          <w:szCs w:val="27"/>
        </w:rPr>
      </w:pPr>
      <w:r>
        <w:rPr>
          <w:rFonts w:hint="eastAsia" w:ascii="仿宋" w:hAnsi="仿宋" w:eastAsia="仿宋" w:cs="仿宋"/>
          <w:i w:val="0"/>
          <w:iCs w:val="0"/>
          <w:caps w:val="0"/>
          <w:color w:val="555555"/>
          <w:spacing w:val="0"/>
          <w:kern w:val="0"/>
          <w:sz w:val="32"/>
          <w:szCs w:val="32"/>
          <w:bdr w:val="none" w:color="auto" w:sz="0" w:space="0"/>
          <w:shd w:val="clear" w:fill="FFFFFF"/>
          <w:lang w:val="en-US" w:eastAsia="zh-CN" w:bidi="ar"/>
        </w:rPr>
        <w:t>2022年2月18日</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JlMDJmZWVkZTlhNTZjNzFmZTAzNmNkMTRhZTNlNzgifQ=="/>
  </w:docVars>
  <w:rsids>
    <w:rsidRoot w:val="0EFC3BEE"/>
    <w:rsid w:val="0EFC3B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2023-02-21T13:38:00Z</dcterms:created>
  <dc:creator>王瑞峰</dc:creator>
  <cp:lastModifiedBy>王瑞峰</cp:lastModifiedBy>
  <dcterms:modified xsi:type="dcterms:W3CDTF">2023-02-21T13:39:15Z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64271423DB714C15B1C3CEF7F197535B</vt:lpwstr>
  </property>
</Properties>
</file>